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26"/>
      </w:tblGrid>
      <w:tr w:rsidR="00106FF0" w:rsidRPr="00106FF0" w14:paraId="21C53467"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106FF0" w:rsidRPr="00106FF0" w14:paraId="1A67C0FE"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2170489C"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16 Haziran 2026 SALI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6B9E401E"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310EA8A0" w14:textId="77777777" w:rsidR="00106FF0" w:rsidRPr="00106FF0" w:rsidRDefault="00106FF0" w:rsidP="00A36DD5">
                  <w:pPr>
                    <w:spacing w:after="0" w:line="240" w:lineRule="auto"/>
                    <w:jc w:val="both"/>
                    <w:rPr>
                      <w:rFonts w:ascii="Times New Roman" w:hAnsi="Times New Roman" w:cs="Times New Roman"/>
                    </w:rPr>
                  </w:pPr>
                  <w:proofErr w:type="gramStart"/>
                  <w:r w:rsidRPr="00106FF0">
                    <w:rPr>
                      <w:rFonts w:ascii="Times New Roman" w:hAnsi="Times New Roman" w:cs="Times New Roman"/>
                    </w:rPr>
                    <w:t>Sayı :</w:t>
                  </w:r>
                  <w:proofErr w:type="gramEnd"/>
                  <w:r w:rsidRPr="00106FF0">
                    <w:rPr>
                      <w:rFonts w:ascii="Times New Roman" w:hAnsi="Times New Roman" w:cs="Times New Roman"/>
                    </w:rPr>
                    <w:t xml:space="preserve"> 33282</w:t>
                  </w:r>
                </w:p>
              </w:tc>
            </w:tr>
            <w:tr w:rsidR="00106FF0" w:rsidRPr="00106FF0" w14:paraId="1C09B42C" w14:textId="77777777">
              <w:trPr>
                <w:trHeight w:val="480"/>
                <w:jc w:val="center"/>
              </w:trPr>
              <w:tc>
                <w:tcPr>
                  <w:tcW w:w="8789" w:type="dxa"/>
                  <w:gridSpan w:val="3"/>
                  <w:tcMar>
                    <w:top w:w="0" w:type="dxa"/>
                    <w:left w:w="108" w:type="dxa"/>
                    <w:bottom w:w="0" w:type="dxa"/>
                    <w:right w:w="108" w:type="dxa"/>
                  </w:tcMar>
                  <w:vAlign w:val="center"/>
                  <w:hideMark/>
                </w:tcPr>
                <w:p w14:paraId="196392F6" w14:textId="77777777" w:rsidR="00106FF0" w:rsidRPr="00106FF0" w:rsidRDefault="00106FF0" w:rsidP="00A36DD5">
                  <w:pPr>
                    <w:spacing w:after="0" w:line="240" w:lineRule="auto"/>
                    <w:jc w:val="center"/>
                    <w:rPr>
                      <w:rFonts w:ascii="Times New Roman" w:hAnsi="Times New Roman" w:cs="Times New Roman"/>
                    </w:rPr>
                  </w:pPr>
                  <w:r w:rsidRPr="00106FF0">
                    <w:rPr>
                      <w:rFonts w:ascii="Times New Roman" w:hAnsi="Times New Roman" w:cs="Times New Roman"/>
                      <w:b/>
                      <w:bCs/>
                    </w:rPr>
                    <w:t>TEBLİĞ</w:t>
                  </w:r>
                </w:p>
              </w:tc>
            </w:tr>
            <w:tr w:rsidR="00106FF0" w:rsidRPr="00106FF0" w14:paraId="07581EE4" w14:textId="77777777">
              <w:trPr>
                <w:trHeight w:val="480"/>
                <w:jc w:val="center"/>
              </w:trPr>
              <w:tc>
                <w:tcPr>
                  <w:tcW w:w="8789" w:type="dxa"/>
                  <w:gridSpan w:val="3"/>
                  <w:tcMar>
                    <w:top w:w="0" w:type="dxa"/>
                    <w:left w:w="108" w:type="dxa"/>
                    <w:bottom w:w="0" w:type="dxa"/>
                    <w:right w:w="108" w:type="dxa"/>
                  </w:tcMar>
                  <w:vAlign w:val="center"/>
                  <w:hideMark/>
                </w:tcPr>
                <w:p w14:paraId="3B51B66E" w14:textId="77777777" w:rsidR="00106FF0" w:rsidRPr="00106FF0" w:rsidRDefault="00106FF0" w:rsidP="00A36DD5">
                  <w:pPr>
                    <w:spacing w:after="0" w:line="240" w:lineRule="auto"/>
                    <w:jc w:val="both"/>
                    <w:rPr>
                      <w:rFonts w:ascii="Times New Roman" w:hAnsi="Times New Roman" w:cs="Times New Roman"/>
                      <w:u w:val="single"/>
                    </w:rPr>
                  </w:pPr>
                  <w:r w:rsidRPr="00106FF0">
                    <w:rPr>
                      <w:rFonts w:ascii="Times New Roman" w:hAnsi="Times New Roman" w:cs="Times New Roman"/>
                      <w:u w:val="single"/>
                    </w:rPr>
                    <w:t>Ticaret Bakanlığından:</w:t>
                  </w:r>
                </w:p>
                <w:p w14:paraId="48D06783" w14:textId="77777777" w:rsidR="00106FF0" w:rsidRPr="00106FF0" w:rsidRDefault="00106FF0" w:rsidP="00A36DD5">
                  <w:pPr>
                    <w:spacing w:after="0" w:line="240" w:lineRule="auto"/>
                    <w:jc w:val="center"/>
                    <w:rPr>
                      <w:rFonts w:ascii="Times New Roman" w:hAnsi="Times New Roman" w:cs="Times New Roman"/>
                      <w:b/>
                      <w:bCs/>
                    </w:rPr>
                  </w:pPr>
                  <w:r w:rsidRPr="00106FF0">
                    <w:rPr>
                      <w:rFonts w:ascii="Times New Roman" w:hAnsi="Times New Roman" w:cs="Times New Roman"/>
                      <w:b/>
                      <w:bCs/>
                    </w:rPr>
                    <w:t>İTHALATTA HAKSIZ REKABETİN ÖNLENMESİNE İLİŞKİN TEBLİĞ</w:t>
                  </w:r>
                </w:p>
                <w:p w14:paraId="7E1FE65A" w14:textId="77777777" w:rsidR="00106FF0" w:rsidRPr="00106FF0" w:rsidRDefault="00106FF0" w:rsidP="00A36DD5">
                  <w:pPr>
                    <w:spacing w:after="0" w:line="240" w:lineRule="auto"/>
                    <w:jc w:val="center"/>
                    <w:rPr>
                      <w:rFonts w:ascii="Times New Roman" w:hAnsi="Times New Roman" w:cs="Times New Roman"/>
                      <w:b/>
                      <w:bCs/>
                    </w:rPr>
                  </w:pPr>
                  <w:r w:rsidRPr="00106FF0">
                    <w:rPr>
                      <w:rFonts w:ascii="Times New Roman" w:hAnsi="Times New Roman" w:cs="Times New Roman"/>
                      <w:b/>
                      <w:bCs/>
                    </w:rPr>
                    <w:t>(TEBLİĞ NO: 2026/9)</w:t>
                  </w:r>
                </w:p>
                <w:p w14:paraId="28D4FBC4"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Amaç ve kapsam</w:t>
                  </w:r>
                </w:p>
                <w:p w14:paraId="0DCB456E"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1-</w:t>
                  </w:r>
                  <w:r w:rsidRPr="00106FF0">
                    <w:rPr>
                      <w:rFonts w:ascii="Times New Roman" w:hAnsi="Times New Roman" w:cs="Times New Roman"/>
                    </w:rPr>
                    <w:t> (1) Bu Tebliğin amacı, yerli üretici Kordsa Teknik Tekstil A.Ş. firması tarafından yapılan başvuruya istinaden Çin Halk Cumhuriyeti menşeli 5902.10.10.00.00 gümrük tarife istatistik pozisyonu altında sınıflandırılan “naylon veya diğer poliamidlerden elde edilen yüksek mukavemetli iplikten her nevi nakil vasıtası iç ve dış lastiği için kauçuk emdirilmiş mensucat (kord bezi)” eşya tanımlı naylon kord bezi; Çin Halk Cumhuriyeti ve Vietnam Sosyalist Cumhuriyeti menşeli 5902.20.10.00.00 gümrük tarife istatistik pozisyonu altında sınıflandırılan “poliesterlerden elde edilen yüksek mukavemetli iplikten her nevi nakil vasıtası iç ve dış lastiği için kauçuk emdirilmiş mensucat (kord bezi)” eşya tanımlı poliesterlerden kord bezi ürünlerine yönelik bir damping soruşturması açılması ve açılan soruşturmanın usul ve esaslarının belirlenmesidir.</w:t>
                  </w:r>
                </w:p>
                <w:p w14:paraId="4A333B6B"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Dayanak</w:t>
                  </w:r>
                </w:p>
                <w:p w14:paraId="2A7B4307"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2- </w:t>
                  </w:r>
                  <w:r w:rsidRPr="00106FF0">
                    <w:rPr>
                      <w:rFonts w:ascii="Times New Roman" w:hAnsi="Times New Roman" w:cs="Times New Roman"/>
                    </w:rPr>
                    <w:t>(1)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Gazete’de yayımlanan İthalatta Haksız Rekabetin Önlenmesi Hakkında Yönetmeliğe dayanılarak hazırlanmıştır.</w:t>
                  </w:r>
                </w:p>
                <w:p w14:paraId="55C71E23"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Tanımlar</w:t>
                  </w:r>
                </w:p>
                <w:p w14:paraId="52DC0034"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3-</w:t>
                  </w:r>
                  <w:r w:rsidRPr="00106FF0">
                    <w:rPr>
                      <w:rFonts w:ascii="Times New Roman" w:hAnsi="Times New Roman" w:cs="Times New Roman"/>
                    </w:rPr>
                    <w:t> (1) Bu Tebliğde geçen;</w:t>
                  </w:r>
                </w:p>
                <w:p w14:paraId="5D009C69"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a) Bakanlık: Ticaret Bakanlığını,</w:t>
                  </w:r>
                </w:p>
                <w:p w14:paraId="7B7D59F5"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b) CIF: Masraflar, sigorta ve navlun dâhil teslimi,</w:t>
                  </w:r>
                </w:p>
                <w:p w14:paraId="12F108D6"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c) ÇHC: Çin Halk Cumhuriyeti’ni,</w:t>
                  </w:r>
                </w:p>
                <w:p w14:paraId="43ECC4E5"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ç) EBYS: Elektronik Belge Yönetim Sistemini,</w:t>
                  </w:r>
                </w:p>
                <w:p w14:paraId="6D4A6625"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d) Genel Müdürlük: Bakanlık İthalat Genel Müdürlüğünü,</w:t>
                  </w:r>
                </w:p>
                <w:p w14:paraId="5A3D9B4A"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e) GTİP: Gümrük tarife istatistik pozisyonunu,</w:t>
                  </w:r>
                </w:p>
                <w:p w14:paraId="087B5DD9"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f) Kanun: 14/6/1989 tarihli ve 3577 sayılı İthalatta Haksız Rekabetin Önlenmesi Hakkında Kanunu,</w:t>
                  </w:r>
                </w:p>
                <w:p w14:paraId="7FCBF9E3"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g) Karar: 20/10/1999 tarihli ve 99/13482 sayılı Bakanlar Kurulu Kararı ile yürürlüğe konulan İthalatta Haksız Rekabetin Önlenmesi Hakkında Kararı,</w:t>
                  </w:r>
                </w:p>
                <w:p w14:paraId="4F3E722C"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ğ) KEP: Kayıtlı elektronik posta adresini,</w:t>
                  </w:r>
                </w:p>
                <w:p w14:paraId="29AEF3CD"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h) TGTC: İstatistik Pozisyonlarına Bölünmüş Türk Gümrük Tarife Cetvelini,</w:t>
                  </w:r>
                </w:p>
                <w:p w14:paraId="37CBD5F1"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ı) Vietnam: Vietnam Sosyalist Cumhuriyeti’ni,</w:t>
                  </w:r>
                </w:p>
                <w:p w14:paraId="21DB498E"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i) Yönetmelik: 30/10/1999 tarihli ve 23861 sayılı Resmî Gazete’de yayımlanan İthalatta Haksız Rekabetin Önlenmesi Hakkında Yönetmeliği,</w:t>
                  </w:r>
                </w:p>
                <w:p w14:paraId="74A19F9B"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ifade eder.</w:t>
                  </w:r>
                </w:p>
                <w:p w14:paraId="7774E109"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Soruşturma konusu ürün</w:t>
                  </w:r>
                </w:p>
                <w:p w14:paraId="59EA0D7B"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4- </w:t>
                  </w:r>
                  <w:r w:rsidRPr="00106FF0">
                    <w:rPr>
                      <w:rFonts w:ascii="Times New Roman" w:hAnsi="Times New Roman" w:cs="Times New Roman"/>
                    </w:rPr>
                    <w:t>(1) Soruşturma konusu ürün, ÇHC menşeli 5902.10.10.00.00 GTİP’i altında sınıflandırılan “naylon veya diğer poliamidlerden elde edilen yüksek mukavemetli iplikten her nevi nakil vasıtası iç ve dış lastiği için kauçuk emdirilmiş mensucat (kord bezi)” eşya tanımlı naylon kord bezi; ÇHC ve Vietnam menşeli 5902.20.10.00.00 GTİP’i altında sınıflandırılan “poliesterlerden elde edilen yüksek mukavemetli iplikten her nevi nakil vasıtası iç ve dış lastiği için kauçuk emdirilmiş mensucat (kord bezi)” eşya tanımlı poliesterlerden kord bezidir.</w:t>
                  </w:r>
                </w:p>
                <w:p w14:paraId="0314013A"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lastRenderedPageBreak/>
                    <w:t>(2) Bahse konu GTİP’ler yalnızca bilgi amaçlı verilmiş olup bağlayıcı mahiyette değildir.</w:t>
                  </w:r>
                </w:p>
                <w:p w14:paraId="317FC3DF"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(3) Ürünün TGTC’de yer alan tarife pozisyonunda ve/veya eşya tanımında yapılacak değişiklikler bu Tebliğ hükümlerinin uygulanmasına engel teşkil etmez.</w:t>
                  </w:r>
                </w:p>
                <w:p w14:paraId="0D8A0587"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Başvurunun temsil niteliği</w:t>
                  </w:r>
                </w:p>
                <w:p w14:paraId="0302C96A"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5-</w:t>
                  </w:r>
                  <w:r w:rsidRPr="00106FF0">
                    <w:rPr>
                      <w:rFonts w:ascii="Times New Roman" w:hAnsi="Times New Roman" w:cs="Times New Roman"/>
                    </w:rPr>
                    <w:t> (1) Başvuru aşamasında sunulan delillerden, Yönetmeliğin 18 inci maddesi çerçevesinde yerli üretim dalını temsil niteliğini haiz olduğu anlaşılan yerli üretici Kordsa Teknik Tekstil A.Ş. tarafından yapılan başvurunun Yönetmeliğin 20 nci maddesi uyarınca yerli üretim dalı adına yapıldığı anlaşılmıştır. Bu kapsamda, söz konusu firma bu Tebliğin ilgili bölümlerinde “yerli üretim dalı” olarak anılacaktır.</w:t>
                  </w:r>
                </w:p>
                <w:p w14:paraId="1CF591EB"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Damping iddiası</w:t>
                  </w:r>
                </w:p>
                <w:p w14:paraId="13EBB6DF"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6-</w:t>
                  </w:r>
                  <w:r w:rsidRPr="00106FF0">
                    <w:rPr>
                      <w:rFonts w:ascii="Times New Roman" w:hAnsi="Times New Roman" w:cs="Times New Roman"/>
                    </w:rPr>
                    <w:t> (1) Normal değerin tespitinde başvuru konusu ülkelerin geçerli iç piyasa fiyatlarına ulaşılamamıştır. Bu kapsamda, Yönetmeliğin 5 inci maddesi hükümleri çerçevesinde, normal değerin tespiti için oluşturulmuş normal değer kullanılmıştır. Bu çerçevede, başvuru konusu ürün için normal değer Türkiye’de benzer malın birim imalat maliyetine satış, genel ve idari giderler ile finansman gideri ve makul bir kârın eklenmesiyle oluşturulmuştur. Normal değerin tespitinde, başvuru konusu ülkeler koşullarına ilişkin lehte ayarlamalar yapılmıştır. Söz konusu değerin fabrika çıkış aşamasında olduğu kabul edilmiştir.</w:t>
                  </w:r>
                </w:p>
                <w:p w14:paraId="54D352F7"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(2) İhraç fiyatının tespitinde, inceleme dönemi olan 1/10/2024-30/9/2025 dönemi için Bakanlık istatistik veri tabanında yer alan ithalat beyannameleri bazında veriler kullanılarak başvuru konusu ürünün başvuru konusu ülkelerden ithalatında oluşan CIF ağırlıklı ortalama ihraç fiyatı dikkate alınmıştır. Söz konusu ihraç fiyatından, Bakanlık istatistik veri tabanından elde edilen harici navlun ve sigorta bedelleri düşülerek anılan değerin fabrika çıkış aşamasında olduğu kabul edilmiştir.</w:t>
                  </w:r>
                </w:p>
                <w:p w14:paraId="4A22B249"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(3) Bu maddede açıklandığı şekilde tespit edilen normal değerler ile Türkiye’ye ihraç fiyatları mümkün olduğu ölçüde aynı ticari aşamada, diğer bir ifadeyle, fabrika çıkış aşamasında karşılaştırılmış olup soruşturma konusu ürün için hesaplanan damping marjlarının Yönetmeliğin 28 inci maddesinde zikredilen ihmal edilebilir oranın üzerinde olduğu tespit edilmiştir.</w:t>
                  </w:r>
                </w:p>
                <w:p w14:paraId="301E6B38"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Zarar ve nedensellik iddiası</w:t>
                  </w:r>
                </w:p>
                <w:p w14:paraId="1A040EE0"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7-</w:t>
                  </w:r>
                  <w:r w:rsidRPr="00106FF0">
                    <w:rPr>
                      <w:rFonts w:ascii="Times New Roman" w:hAnsi="Times New Roman" w:cs="Times New Roman"/>
                    </w:rPr>
                    <w:t> (1) Yönetmeliğin 17 nci maddesi çerçevesinde zarar iddiası 1/1/2022-30/9/2025 dönemi için incelenmiştir.</w:t>
                  </w:r>
                </w:p>
                <w:p w14:paraId="28BB5E73"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(2) Naylon kord bezi ürününde, ÇHC menşeli başvuru konusu ürün ithalatı 1/1/2022-30/9/2025 döneminde mutlak ve nispi olarak artış göstermiştir.</w:t>
                  </w:r>
                </w:p>
                <w:p w14:paraId="372328A9"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(3) Poliesterlerden kord bezi ürününde, ÇHC ve Vietnam menşeli başvuru konusu ürün ithalatı, 1/1/2022-30/9/2025 döneminde mutlak ve nispi olarak artış göstermiştir.</w:t>
                  </w:r>
                </w:p>
                <w:p w14:paraId="5ADBAECA"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(4) Naylon kord bezi ürününde, ÇHC menşeli ithalatın, 1/1/2022-30/9/2025 döneminde yerli üretim dalının yurt içi birim satış fiyatlarını kırdığı ve baskıladığı görülmüştür.</w:t>
                  </w:r>
                </w:p>
                <w:p w14:paraId="38CD5B97"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(5) Poliesterlerden kord bezi ürününde, ÇHC menşeli ithalatın, 1/10/2024-30/9/2025 döneminde yerli üretim dalının yurt içi birim satış fiyatlarını kırdığı, 1/1/2023-30/9/2025 döneminde yerli üretim dalının yurt içi birim satış fiyatlarını baskıladığı; Vietnam menşeli ithalatın, 1/1/2022-30/9/2025 döneminde yerli üretim dalının yurt içi birim satış fiyatlarını kırmadığı, 1/1/2023-30/9/2025 döneminde yerli üretim dalının yurt içi birim satış fiyatlarını baskıladığı görülmüştür.</w:t>
                  </w:r>
                </w:p>
                <w:p w14:paraId="393F9263"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(6) Naylon kord bezi ürününde, yerli üretim dalı tarafından zarara ilişkin olarak sunulan bilgi, belge ve deliller kullanılarak yapılan değerlendirmede, yerli üretim dalının üretim, yurt içi satış miktarı, yurt içi satışlardan kârlılık, kapasite kullanım oranı, istihdam, pazar payı, verimlilik, ürün nakit akışı ve yatırımların geri dönüş oranı gibi temel ekonomik göstergelerinde 1/1/2022-30/9/2025 döneminde bozulmalar yaşandığı tespit edilmiştir.</w:t>
                  </w:r>
                </w:p>
                <w:p w14:paraId="56DFB455"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lastRenderedPageBreak/>
                    <w:t>(7) Poliesterlerden kord bezi ürününde, yerli üretim dalı tarafından zarara ilişkin olarak sunulan bilgi, belge ve deliller kullanılarak yapılan değerlendirmede, yerli üretim dalının üretim, yurt içi satış miktarı, yurt içi satışlardan kârlılık, kapasite kullanım oranı, istihdam, pazar payı, verimlilik, ürün nakit akışı ve yatırımların geri dönüş oranı gibi temel ekonomik göstergelerinde 1/1/2022-30/9/2025 döneminde bozulmalar yaşandığı tespit edilmiştir.</w:t>
                  </w:r>
                </w:p>
                <w:p w14:paraId="5F160EF2"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(8) Başvuru aşamasında sunulan deliller ve ithalata ilişkin Bakanlık istatistik veri tabanında yer alan veriler esas alınarak yapılan tespitler ışığında, dampingli olduğu iddia edilen naylon kord bezi ürününde, ÇHC menşeli ithalatın; poliesterlerden kord bezi ürününde, ÇHC ve Vietnam menşeli ithalatın yerli üretim dalının ekonomik göstergelerinde maddi zarara yol açtığı değerlendirilmiştir.</w:t>
                  </w:r>
                </w:p>
                <w:p w14:paraId="6C485398"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Karar ve işlemler</w:t>
                  </w:r>
                </w:p>
                <w:p w14:paraId="2DBBEDD3"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8-</w:t>
                  </w:r>
                  <w:r w:rsidRPr="00106FF0">
                    <w:rPr>
                      <w:rFonts w:ascii="Times New Roman" w:hAnsi="Times New Roman" w:cs="Times New Roman"/>
                    </w:rPr>
                    <w:t> (1) Yapılan inceleme sonucunda, damping soruşturması açılabilmesi için yeterli bilgi, belge ve delillerin bulunduğu anlaşıldığından, İthalatta Haksız Rekabeti Değerlendirme Kurulunun kararı ile ÇHC menşeli naylon kord bezi ürünü ile ÇHC ve Vietnam menşeli poliesterlerden kord bezi ürününe yönelik olarak Yönetmeliğin 20 nci maddesi çerçevesinde bir damping soruşturması açılmasına karar verilmiştir.</w:t>
                  </w:r>
                </w:p>
                <w:p w14:paraId="1D9F7805"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Piyasa ekonomisi değerlendirmesi</w:t>
                  </w:r>
                </w:p>
                <w:p w14:paraId="09CC0C6B"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9-</w:t>
                  </w:r>
                  <w:r w:rsidRPr="00106FF0">
                    <w:rPr>
                      <w:rFonts w:ascii="Times New Roman" w:hAnsi="Times New Roman" w:cs="Times New Roman"/>
                    </w:rPr>
                    <w:t> (1) ÇHC ve Vietnam’da yerleşik soruşturmaya tabi üretici veya üreticilerin soruşturma konusu ürünün üretiminde ve satışında Yönetmeliğin ek 1 inci maddesinde yer alan ölçütler çerçevesinde piyasa ekonomisi koşullarının geçerli olduğunu 12 nci maddede belirtilen süreler içinde yeterli deliller ile ispat etmesi durumunda bu üretici veya üreticiler için normal değerin tespitinde Yönetmeliğin 5 inci maddesi, aksi takdirde Yönetmeliğin 7 nci maddesi hükümleri uygulanır. Yönetmeliğin 7 nci maddesi hükümlerinin tatbiki halinde adı geçen ülke için piyasa ekonomisi uygulayan emsal ülke olarak Türkiye’nin seçilmesi öngörülür.</w:t>
                  </w:r>
                </w:p>
                <w:p w14:paraId="74052BFA"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İlgili taraflara soruşturma açılışının bildirilmesi</w:t>
                  </w:r>
                </w:p>
                <w:p w14:paraId="0574FE20"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10-</w:t>
                  </w:r>
                  <w:r w:rsidRPr="00106FF0">
                    <w:rPr>
                      <w:rFonts w:ascii="Times New Roman" w:hAnsi="Times New Roman" w:cs="Times New Roman"/>
                    </w:rPr>
                    <w:t> (1) Yönetmeliğin 23 üncü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12 nci maddede belirtilen süreler içinde soru formlarını cevaplamak veya görüşlerini sunmak suretiyle kendilerini yetkili merciye bildirenler soruşturmada ilgili taraf olarak dikkate alınır.</w:t>
                  </w:r>
                </w:p>
                <w:p w14:paraId="7445BF1B"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(2) Soruşturma açılmasını müteakip, soruşturma konusu ülkelerde yerleşik bilinen üretici/ihracatçılara, soruşturma konusu ülkelerin Ankara’daki büyükelçilikleri ile başvuruda belirtilen ve Bakanlıkça tespit edilen soruşturma konusu ürünün bilinen ithalatçılarına soruşturmanın açılışına ilişkin bildirimde bulunulur.</w:t>
                  </w:r>
                </w:p>
                <w:p w14:paraId="32C15277"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(3) Bildirimde, soruşturma açılış Tebliği, başvurunun gizli olmayan özeti ve soru formlarına erişim hususunda bilgiye yer verilir.</w:t>
                  </w:r>
                </w:p>
                <w:p w14:paraId="3D85692F"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w:t>
                  </w:r>
                </w:p>
                <w:p w14:paraId="422114A1"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Yetkili merci, ilgili tarafların görüş ve cevaplarını sunmaları</w:t>
                  </w:r>
                </w:p>
                <w:p w14:paraId="0A213531"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11-</w:t>
                  </w:r>
                  <w:r w:rsidRPr="00106FF0">
                    <w:rPr>
                      <w:rFonts w:ascii="Times New Roman" w:hAnsi="Times New Roman" w:cs="Times New Roman"/>
                    </w:rPr>
                    <w:t> (1) Soruşturma, aşağıda iletişim bilgileri yer alan Genel Müdürlük tarafından yürütülür.</w:t>
                  </w:r>
                </w:p>
                <w:p w14:paraId="37023DF7"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T. C. Ticaret Bakanlığı</w:t>
                  </w:r>
                </w:p>
                <w:p w14:paraId="6C100A2A"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İthalat Genel Müdürlüğü</w:t>
                  </w:r>
                </w:p>
                <w:p w14:paraId="3E62DA81"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lastRenderedPageBreak/>
                    <w:t>Damping ve Sübvansiyon Dairesi</w:t>
                  </w:r>
                </w:p>
                <w:p w14:paraId="71655A68"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Adres: Söğütözü Mah. Nizami Gencevi Caddesi No:63/1 06530 Çankaya/ANKARA</w:t>
                  </w:r>
                </w:p>
                <w:p w14:paraId="584A35ED"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Tel: +90 312 204 75 00</w:t>
                  </w:r>
                </w:p>
                <w:p w14:paraId="32039F8A"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(2) Soruşturmada “Türkiye’de yerleşik firma, kurum ve kuruluşlar”, soru formlarına cevapları ile resmî görüşlerini kendilerine ait KEP adreslerinden Bakanlığın aşağıda yer alan KEP adresine gönderir.</w:t>
                  </w:r>
                </w:p>
                <w:p w14:paraId="500C2DD3"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KEP adresi: </w:t>
                  </w:r>
                  <w:r w:rsidRPr="00106FF0">
                    <w:rPr>
                      <w:rFonts w:ascii="Times New Roman" w:hAnsi="Times New Roman" w:cs="Times New Roman"/>
                      <w:u w:val="single"/>
                    </w:rPr>
                    <w:t>ticaretbakanligi@hs01.kep.tr</w:t>
                  </w:r>
                </w:p>
                <w:p w14:paraId="7E46D66F"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e-posta adresine gönderilir.</w:t>
                  </w:r>
                </w:p>
                <w:p w14:paraId="7E9D57E8"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EBYS e-posta adresi: </w:t>
                  </w:r>
                  <w:r w:rsidRPr="00106FF0">
                    <w:rPr>
                      <w:rFonts w:ascii="Times New Roman" w:hAnsi="Times New Roman" w:cs="Times New Roman"/>
                      <w:u w:val="single"/>
                    </w:rPr>
                    <w:t>ithebys@ticaret.gov.tr</w:t>
                  </w:r>
                </w:p>
                <w:p w14:paraId="75425B96"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(4) Soruşturma kapsamında yurt dışında yerleşik firma, kurum ya da kuruluşların soru formu cevaplarını bir yasal temsilci vasıtasıyla Bakanlığa iletmeleri durumunda, ilgili firma, kurum ya da kuruluşların anılan yasal temsilci adına resmî bir vekâletname (yetki belgesi) düzenlemesi gerekmektedir. Düzenlenecek vekâletnamenin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“apostil tasdik şerhi” taşıması, apostil tasdik şerhi bulunmaması halinde o ülkedeki Türk Konsolosluğunun tasdikini içermesi gerekmektedir.</w:t>
                  </w:r>
                </w:p>
                <w:p w14:paraId="0DC07086"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(5) Soruşturmaya ilişkin yazılı ve sözlü iletişim Türkçe yapılır. Soru formuna yanıtlar hariç olmak üzere, Türkçe dışında bir dilde sunulan hiçbir bilgi, belge, görüş ve talep dikkate alınmaz.</w:t>
                  </w:r>
                </w:p>
                <w:p w14:paraId="2AA96EDE"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(6) İlgili taraflarca soru formuna verilen cevaplar, soruşturmayla ilgili sunulan diğer bilgi, belge, görüş ve destekleyici deliller aksi belirtilmedikçe yazılı olarak sunulur. Yazılı sunumlarda ilgili tarafların isim ve unvanı, adres bilgileri, elektronik posta adresi, telefon numaraları belirtilir. “Türkiye’de yerleşik firma, kurum ve kuruluşlardan ilgili taraf olmak isteyenler” tarafından yazılı sunumlarda kendilerine ait KEP adresleri de belirtilir.</w:t>
                  </w:r>
                </w:p>
                <w:p w14:paraId="410EF83D"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(7) İlgili taraflar, soru formunda istenilen bilgiler haricinde soruşturmayla ilgili olduğu düşünülen diğer bilgi, belge ve görüşlerini, destekleyici deliller ile birlikte Genel Müdürlüğe yazılı olarak 12 nci maddenin ikinci fıkrasında belirtilen süre içerisinde sunabilir.</w:t>
                  </w:r>
                </w:p>
                <w:p w14:paraId="765621D6"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(8) Soruşturma süresince Yönetmeliğin 22 nci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615CFB3D"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Süreler</w:t>
                  </w:r>
                </w:p>
                <w:p w14:paraId="471F2D99"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12-</w:t>
                  </w:r>
                  <w:r w:rsidRPr="00106FF0">
                    <w:rPr>
                      <w:rFonts w:ascii="Times New Roman" w:hAnsi="Times New Roman" w:cs="Times New Roman"/>
                    </w:rPr>
                    <w:t> (1) 10 uncu maddenin ikinci fıkrasında belirtilen bildirimin gönderildiği bütün ilgili taraflar için soru formunu cevaplama süresi, soruşturmanın açılışına ilişkin bildirimin gönderildiği tarihten itibaren posta süresi dâhil 37 gündür.</w:t>
                  </w:r>
                </w:p>
                <w:p w14:paraId="122529A4"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(2) 10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36BB3100"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 xml:space="preserve">(3) Soruşturmanın sonucundan etkilenebileceklerini iddia eden ve 10 uncu maddenin birinci fıkrası dışında kalan diğer yerli ve yabancı taraflar görüşlerini bu Tebliğin yayımı </w:t>
                  </w:r>
                  <w:r w:rsidRPr="00106FF0">
                    <w:rPr>
                      <w:rFonts w:ascii="Times New Roman" w:hAnsi="Times New Roman" w:cs="Times New Roman"/>
                    </w:rPr>
                    <w:lastRenderedPageBreak/>
                    <w:t>tarihinden itibaren soruşturmanın akışını etkilemeyecek şekilde soruşturma süreci içerisinde sunabilir.</w:t>
                  </w:r>
                </w:p>
                <w:p w14:paraId="46539E39"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İş birliğine gelinmemesi</w:t>
                  </w:r>
                </w:p>
                <w:p w14:paraId="10E9C6A7"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13- </w:t>
                  </w:r>
                  <w:r w:rsidRPr="00106FF0">
                    <w:rPr>
                      <w:rFonts w:ascii="Times New Roman" w:hAnsi="Times New Roman" w:cs="Times New Roman"/>
                    </w:rPr>
                    <w:t>(1) Yönetmeliğin 26 ncı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7376B541"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rPr>
                    <w:t>(2) İlgili tarafların iş birliğine gelmemesi veya kısmen iş birliğine gelmesi halinde bahse konu taraf için soruşturmanın sonucu iş birliğine gelinmesine nazaran daha az avantajlı olabilir.</w:t>
                  </w:r>
                </w:p>
                <w:p w14:paraId="2C146E7C"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Geçici önlem alınması ve önlemlerin geriye dönük uygulanması</w:t>
                  </w:r>
                </w:p>
                <w:p w14:paraId="26DF45DE"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14-</w:t>
                  </w:r>
                  <w:r w:rsidRPr="00106FF0">
                    <w:rPr>
                      <w:rFonts w:ascii="Times New Roman" w:hAnsi="Times New Roman" w:cs="Times New Roman"/>
                    </w:rPr>
                    <w:t> (1) Kanun ve Kararın ilgili hükümleri uyarınca, soruşturma süresince geçici önlem uygulanması kararlaştırılabilir ve kesin önlem geriye dönük olarak uygulanabilir.</w:t>
                  </w:r>
                </w:p>
                <w:p w14:paraId="5E881FAD"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Soruşturmanın başlangıç tarihi</w:t>
                  </w:r>
                </w:p>
                <w:p w14:paraId="27341B5F"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15-</w:t>
                  </w:r>
                  <w:r w:rsidRPr="00106FF0">
                    <w:rPr>
                      <w:rFonts w:ascii="Times New Roman" w:hAnsi="Times New Roman" w:cs="Times New Roman"/>
                    </w:rPr>
                    <w:t> (1) Soruşturma, bu Tebliğin yayımı tarihinde başlamış kabul edilir.</w:t>
                  </w:r>
                </w:p>
                <w:p w14:paraId="150AD817"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Yürürlük</w:t>
                  </w:r>
                </w:p>
                <w:p w14:paraId="5C10B642"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16-</w:t>
                  </w:r>
                  <w:r w:rsidRPr="00106FF0">
                    <w:rPr>
                      <w:rFonts w:ascii="Times New Roman" w:hAnsi="Times New Roman" w:cs="Times New Roman"/>
                    </w:rPr>
                    <w:t> (1) Bu Tebliğ yayımı tarihinde yürürlüğe girer.</w:t>
                  </w:r>
                </w:p>
                <w:p w14:paraId="082CDBE5"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Yürütme</w:t>
                  </w:r>
                </w:p>
                <w:p w14:paraId="3BFC9278"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MADDE 17-</w:t>
                  </w:r>
                  <w:r w:rsidRPr="00106FF0">
                    <w:rPr>
                      <w:rFonts w:ascii="Times New Roman" w:hAnsi="Times New Roman" w:cs="Times New Roman"/>
                    </w:rPr>
                    <w:t> (1) Bu Tebliğ hükümlerini Ticaret Bakanı yürütür.</w:t>
                  </w:r>
                </w:p>
                <w:p w14:paraId="638BDADC" w14:textId="77777777" w:rsidR="00106FF0" w:rsidRPr="00106FF0" w:rsidRDefault="00106FF0" w:rsidP="00A36DD5">
                  <w:pPr>
                    <w:spacing w:after="0" w:line="240" w:lineRule="auto"/>
                    <w:jc w:val="both"/>
                    <w:rPr>
                      <w:rFonts w:ascii="Times New Roman" w:hAnsi="Times New Roman" w:cs="Times New Roman"/>
                    </w:rPr>
                  </w:pPr>
                  <w:r w:rsidRPr="00106FF0">
                    <w:rPr>
                      <w:rFonts w:ascii="Times New Roman" w:hAnsi="Times New Roman" w:cs="Times New Roman"/>
                      <w:b/>
                      <w:bCs/>
                    </w:rPr>
                    <w:t> </w:t>
                  </w:r>
                </w:p>
              </w:tc>
            </w:tr>
          </w:tbl>
          <w:p w14:paraId="5AA5B2B2" w14:textId="77777777" w:rsidR="00106FF0" w:rsidRPr="00106FF0" w:rsidRDefault="00106FF0" w:rsidP="00A36DD5">
            <w:pPr>
              <w:spacing w:after="0" w:line="240" w:lineRule="auto"/>
              <w:jc w:val="both"/>
              <w:rPr>
                <w:rFonts w:ascii="Times New Roman" w:hAnsi="Times New Roman" w:cs="Times New Roman"/>
              </w:rPr>
            </w:pPr>
          </w:p>
        </w:tc>
      </w:tr>
    </w:tbl>
    <w:p w14:paraId="25780FD0" w14:textId="77777777" w:rsidR="00106FF0" w:rsidRPr="00106FF0" w:rsidRDefault="00106FF0" w:rsidP="00106FF0">
      <w:pPr>
        <w:jc w:val="both"/>
        <w:rPr>
          <w:rFonts w:ascii="Times New Roman" w:hAnsi="Times New Roman" w:cs="Times New Roman"/>
        </w:rPr>
      </w:pPr>
      <w:r w:rsidRPr="00106FF0">
        <w:rPr>
          <w:rFonts w:ascii="Times New Roman" w:hAnsi="Times New Roman" w:cs="Times New Roman"/>
        </w:rPr>
        <w:lastRenderedPageBreak/>
        <w:t> </w:t>
      </w:r>
    </w:p>
    <w:p w14:paraId="4B37F077" w14:textId="77777777" w:rsidR="00C55F8F" w:rsidRPr="00106FF0" w:rsidRDefault="00C55F8F" w:rsidP="00106FF0">
      <w:pPr>
        <w:jc w:val="both"/>
        <w:rPr>
          <w:rFonts w:ascii="Times New Roman" w:hAnsi="Times New Roman" w:cs="Times New Roman"/>
        </w:rPr>
      </w:pPr>
    </w:p>
    <w:sectPr w:rsidR="00C55F8F" w:rsidRPr="00106FF0" w:rsidSect="00106FF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8F"/>
    <w:rsid w:val="00106FF0"/>
    <w:rsid w:val="00A36DD5"/>
    <w:rsid w:val="00C55F8F"/>
    <w:rsid w:val="00CE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D8508-2FB2-45F7-9BB3-6825507E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F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5F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5F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5F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5F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5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5F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5F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5F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5F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5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F8F"/>
    <w:rPr>
      <w:rFonts w:eastAsiaTheme="majorEastAsia" w:cstheme="majorBidi"/>
      <w:color w:val="272727" w:themeColor="text1" w:themeTint="D8"/>
    </w:rPr>
  </w:style>
  <w:style w:type="paragraph" w:styleId="Title">
    <w:name w:val="Title"/>
    <w:basedOn w:val="Normal"/>
    <w:next w:val="Normal"/>
    <w:link w:val="TitleChar"/>
    <w:uiPriority w:val="10"/>
    <w:qFormat/>
    <w:rsid w:val="00C55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F8F"/>
    <w:pPr>
      <w:spacing w:before="160"/>
      <w:jc w:val="center"/>
    </w:pPr>
    <w:rPr>
      <w:i/>
      <w:iCs/>
      <w:color w:val="404040" w:themeColor="text1" w:themeTint="BF"/>
    </w:rPr>
  </w:style>
  <w:style w:type="character" w:customStyle="1" w:styleId="QuoteChar">
    <w:name w:val="Quote Char"/>
    <w:basedOn w:val="DefaultParagraphFont"/>
    <w:link w:val="Quote"/>
    <w:uiPriority w:val="29"/>
    <w:rsid w:val="00C55F8F"/>
    <w:rPr>
      <w:i/>
      <w:iCs/>
      <w:color w:val="404040" w:themeColor="text1" w:themeTint="BF"/>
    </w:rPr>
  </w:style>
  <w:style w:type="paragraph" w:styleId="ListParagraph">
    <w:name w:val="List Paragraph"/>
    <w:basedOn w:val="Normal"/>
    <w:uiPriority w:val="34"/>
    <w:qFormat/>
    <w:rsid w:val="00C55F8F"/>
    <w:pPr>
      <w:ind w:left="720"/>
      <w:contextualSpacing/>
    </w:pPr>
  </w:style>
  <w:style w:type="character" w:styleId="IntenseEmphasis">
    <w:name w:val="Intense Emphasis"/>
    <w:basedOn w:val="DefaultParagraphFont"/>
    <w:uiPriority w:val="21"/>
    <w:qFormat/>
    <w:rsid w:val="00C55F8F"/>
    <w:rPr>
      <w:i/>
      <w:iCs/>
      <w:color w:val="2F5496" w:themeColor="accent1" w:themeShade="BF"/>
    </w:rPr>
  </w:style>
  <w:style w:type="paragraph" w:styleId="IntenseQuote">
    <w:name w:val="Intense Quote"/>
    <w:basedOn w:val="Normal"/>
    <w:next w:val="Normal"/>
    <w:link w:val="IntenseQuoteChar"/>
    <w:uiPriority w:val="30"/>
    <w:qFormat/>
    <w:rsid w:val="00C55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5F8F"/>
    <w:rPr>
      <w:i/>
      <w:iCs/>
      <w:color w:val="2F5496" w:themeColor="accent1" w:themeShade="BF"/>
    </w:rPr>
  </w:style>
  <w:style w:type="character" w:styleId="IntenseReference">
    <w:name w:val="Intense Reference"/>
    <w:basedOn w:val="DefaultParagraphFont"/>
    <w:uiPriority w:val="32"/>
    <w:qFormat/>
    <w:rsid w:val="00C55F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2248</Words>
  <Characters>12820</Characters>
  <Application>Microsoft Office Word</Application>
  <DocSecurity>0</DocSecurity>
  <Lines>106</Lines>
  <Paragraphs>30</Paragraphs>
  <ScaleCrop>false</ScaleCrop>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Thương vụ Thổ Nhĩ Kỳ</dc:creator>
  <cp:keywords/>
  <dc:description/>
  <cp:lastModifiedBy>Thương vụ Thổ Nhĩ Kỳ</cp:lastModifiedBy>
  <cp:revision>3</cp:revision>
  <dcterms:created xsi:type="dcterms:W3CDTF">2026-06-29T21:41:00Z</dcterms:created>
  <dcterms:modified xsi:type="dcterms:W3CDTF">2026-06-29T21:43:00Z</dcterms:modified>
</cp:coreProperties>
</file>